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a-ES"/>
        </w:rPr>
      </w:pPr>
      <w:r w:rsidRPr="00074D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a-ES"/>
        </w:rPr>
        <w:t>PAPA FRANCISCO</w:t>
      </w:r>
      <w:r w:rsidRPr="00074D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a-ES"/>
        </w:rPr>
        <w:br/>
      </w:r>
      <w:r w:rsidRPr="00074D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ca-ES"/>
        </w:rPr>
        <w:t>AUDIENCIA GENERAL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b/>
          <w:iCs/>
          <w:color w:val="000000" w:themeColor="text1"/>
          <w:lang w:eastAsia="ca-ES"/>
        </w:rPr>
        <w:t xml:space="preserve">Biblioteca del Palacio </w:t>
      </w:r>
      <w:proofErr w:type="spellStart"/>
      <w:r w:rsidRPr="00074D75">
        <w:rPr>
          <w:rFonts w:ascii="Times New Roman" w:eastAsia="Times New Roman" w:hAnsi="Times New Roman" w:cs="Times New Roman"/>
          <w:b/>
          <w:iCs/>
          <w:color w:val="000000" w:themeColor="text1"/>
          <w:lang w:eastAsia="ca-ES"/>
        </w:rPr>
        <w:t>Apostólico</w:t>
      </w:r>
      <w:proofErr w:type="spellEnd"/>
      <w:r w:rsidRPr="00074D75">
        <w:rPr>
          <w:rFonts w:ascii="Times New Roman" w:eastAsia="Times New Roman" w:hAnsi="Times New Roman" w:cs="Times New Roman"/>
          <w:b/>
          <w:iCs/>
          <w:color w:val="000000" w:themeColor="text1"/>
          <w:lang w:eastAsia="ca-ES"/>
        </w:rPr>
        <w:br/>
      </w:r>
      <w:proofErr w:type="spellStart"/>
      <w:r w:rsidRPr="00074D75">
        <w:rPr>
          <w:rFonts w:ascii="Times New Roman" w:eastAsia="Times New Roman" w:hAnsi="Times New Roman" w:cs="Times New Roman"/>
          <w:b/>
          <w:iCs/>
          <w:color w:val="000000" w:themeColor="text1"/>
          <w:lang w:eastAsia="ca-ES"/>
        </w:rPr>
        <w:t>Miércoles</w:t>
      </w:r>
      <w:proofErr w:type="spellEnd"/>
      <w:r w:rsidRPr="00074D75">
        <w:rPr>
          <w:rFonts w:ascii="Times New Roman" w:eastAsia="Times New Roman" w:hAnsi="Times New Roman" w:cs="Times New Roman"/>
          <w:b/>
          <w:iCs/>
          <w:color w:val="000000" w:themeColor="text1"/>
          <w:lang w:eastAsia="ca-ES"/>
        </w:rPr>
        <w:t>, 19 de agosto de 2020</w:t>
      </w:r>
    </w:p>
    <w:p w:rsidR="00074D75" w:rsidRPr="00074D75" w:rsidRDefault="00074D75" w:rsidP="00074D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a-ES"/>
        </w:rPr>
      </w:pPr>
      <w:bookmarkStart w:id="0" w:name="_GoBack"/>
      <w:bookmarkEnd w:id="0"/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b/>
          <w:bCs/>
          <w:color w:val="000000" w:themeColor="text1"/>
          <w:lang w:eastAsia="ca-ES"/>
        </w:rPr>
        <w:t>Catequesis - “Curar el mundo”: 3</w:t>
      </w:r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 xml:space="preserve">. La </w:t>
      </w:r>
      <w:proofErr w:type="spellStart"/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 xml:space="preserve"> preferencial por los pobres y la </w:t>
      </w:r>
      <w:proofErr w:type="spellStart"/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>virtud</w:t>
      </w:r>
      <w:proofErr w:type="spellEnd"/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a-ES"/>
        </w:rPr>
        <w:t>caridad</w:t>
      </w:r>
      <w:proofErr w:type="spellEnd"/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Queridos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hermanos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hermanas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, ¡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buenos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días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!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pandemia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dejado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descubierto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difícil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situación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pobres y la gran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desigualdad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reina en el mundo. Y el virus, si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bien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excepciones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entre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personas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encontrado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camino devastador,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grandes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desigualdades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discriminación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¡Y las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incrementado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!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tanto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respuesta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pandemia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 doble. Por un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es indispensable encontrar la cura para un virus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pequeño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terrible,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pone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rodillas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mundo. Por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otro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curar un gran virus, el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injusticia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social,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desigualdad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oportunidades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marginación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de la falta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protección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débiles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En esta doble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respuesta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elección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según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Evangelio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puede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faltar: es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preferencial por los pobres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 Exhort. ap. 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"http://www.vatican.va/content/francesco/es/apost_exhortations/documents/papa-francesco_esortazione-ap_20131124_evangelii-gaudium.html" \l "Fidelidad_al_Evangelio_para_no_correr_en_vano"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Evangelii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gaudium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[EG]</w:t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, 195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Y esta no es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política; ni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tampoco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ideológica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partidos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preferencial por los pobres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el centro del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Evangelio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Y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primero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hacerlo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Jesús; lo hemos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escuchado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pasaje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Carta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Corintios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se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leído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al inicio.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Él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siendo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rico, se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hecho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pobre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enriquecernos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nosotros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Se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hecho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uno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nosotros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en el centro del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Evangelio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en el centro del anuncio de Jesús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esta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mismo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se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despojado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sí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mismo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haciéndose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igual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hombres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; y no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elegido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vida de privilegio,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sino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elegido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condición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siervo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Fil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2, 6-7).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aniquiló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sí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mismo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convirtiéndose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siervo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Nació en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familia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humilde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trabajó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como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artesano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Al principio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predicación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anunció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en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Reino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los pobres son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bienaventurados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Mt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5, 3;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Lc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6, 20; </w:t>
      </w:r>
      <w:hyperlink r:id="rId4" w:anchor="El_lugar_privilegiado_de_los_pobres_en_el_Pueblo_de_Dios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EG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197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Estaba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medio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enfermos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los pobres y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excluidos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mostrándoles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amor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misericordioso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"http://www.vatican.va/archive/catechism_sp/p3s2c2a7_sp.html" \l "VI%20El%20amor%20de%20los%20pobres"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Catecismo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de la Iglesia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Católica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, 2444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muchas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veces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sido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juzgado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como un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hombre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impuro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porque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iba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donde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enfermos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los leprosos,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según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ley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época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eran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impuros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Él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corrido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riesgo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estar cerca de los pobres.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los seguidores de Jesús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reconocen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cercanía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los pobres,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pequeños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enfermos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a los presos,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excluidos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olvidados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quien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privado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alimento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ropa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Mt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25, 31-36; </w:t>
      </w:r>
      <w:hyperlink r:id="rId5" w:anchor="VI%20El%20amor%20de%20los%20pobres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CIC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2443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Podemos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leer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famoso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parámetro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sobre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cual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juzgados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juzgados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Es Mateo,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capítulo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25. Este es un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criterio-clave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autenticidad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cristiana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Gal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2,10; </w: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EG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195).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Algunos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piensan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erróneamente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este amor preferencial por los pobres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tarea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pocos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realidad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misión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Iglesia,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decía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San Juan Pablo II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S. Juan Pablo II,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Enc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instrText xml:space="preserve"> HYPERLINK "http://www.vatican.va/content/john-paul-ii/es/encyclicals/documents/hf_jp-ii_enc_30121987_sollicitudo-rei-socialis.html" </w:instrTex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Sollicitudo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rei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socialis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42). «Cada cristiano y cada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comunidad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están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llamados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ser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instrumentos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liberación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promoción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pobres» (</w:t>
      </w:r>
      <w:hyperlink r:id="rId6" w:anchor="Unidos_a_Dios_escuchamos_un_clamor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EG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187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).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La fe,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esperanza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el amor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necesariamente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nos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empujan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esta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preferencia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necesitados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,</w:t>
      </w:r>
      <w:bookmarkStart w:id="1" w:name="_ftnref1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"http://www.vatican.va/content/francesco/es/audiences/2020/documents/papa-francesco_20200819_udienza-generale.html" \l "_ftn1" \o ""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[1]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bookmarkEnd w:id="1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que va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allá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pura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necesaria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hyperlink r:id="rId7" w:anchor="El_lugar_privilegiado_de_los_pobres_en_el_Pueblo_de_Dios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EG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198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Implica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hecho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lastRenderedPageBreak/>
        <w:t xml:space="preserve">caminar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juntos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dejarse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evangelizar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ellos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conocen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bien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sufriente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dejarse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“contagiar”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experiencia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salvación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sabiduría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creatividad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instrText xml:space="preserve"> HYPERLINK "http://www.vatican.va/content/francesco/es/apost_exhortations/documents/papa-francesco_esortazione-ap_20131124_evangelii-gaudium.html" \l "El_lugar_privilegiado_de_los_pobres_en_el_Pueblo_de_Dios" </w:instrTex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ibid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.). Compartir con los pobres significa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enriquecerse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mutuamente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Y, si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estructuras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enfermas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les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impiden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soñar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futuro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trabajar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juntos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sanarlas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cambiarlas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"http://www.vatican.va/content/francesco/es/apost_exhortations/documents/papa-francesco_esortazione-ap_20131124_evangelii-gaudium.html" \l "Fidelidad_al_Evangelio_para_no_correr_en_vano"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ibid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., 195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Y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conduce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amor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nos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amado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hasta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el extremo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Jn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13, 1) y llega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hasta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los confines,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márgenes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fronteras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existenciales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Llevar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periferias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al centro significa centrar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nuestra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 vida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«se ha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hecho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pobre»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nosotros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enriquecernos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«por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medio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su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pobreza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» (</w: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2 Cor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8, 9).</w:t>
      </w:r>
      <w:bookmarkStart w:id="2" w:name="_ftnref2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"http://www.vatican.va/content/francesco/es/audiences/2020/documents/papa-francesco_20200819_udienza-generale.html" \l "_ftn2" \o ""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[2]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bookmarkEnd w:id="2"/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Todos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estamos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preocupados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consecuencias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pandemia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Todos.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Muchos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quieren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volver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normalidad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retomar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actividades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económicas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Cierto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esta “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normalidad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”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debería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comprender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injusticias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degradación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ambiente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pandemia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 una crisis y de una crisis no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iguales: 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salimos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mejores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salimos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peores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Nosotros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debemos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salir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mejores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mejorar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injusticias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degradación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ambiental.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Hoy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ocasión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construir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algo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diferente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ejemplo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podemos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crecer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economía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desarrollo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integral de los pobres y no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asistencialismo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Con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quiero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condenar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obras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son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importantes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Pensemos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voluntariado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que es una de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estructuras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bellas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tiene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Iglesia italiana.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allá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resolver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problemas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nos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impulsan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hacer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economía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recurra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remedios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realidad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envenenan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sociedad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como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rendimientos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disociados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creación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puestos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trabajo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dignos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hyperlink r:id="rId8" w:anchor="Econom%C3%ADa_y_distribuci%C3%B3n_del_ingreso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EG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204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Este tipo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beneficios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disociado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economía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real, la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debería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dar beneficio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gente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Enc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"http://www.vatican.va/content/francesco/es/encyclicals/documents/papa-francesco_20150524_enciclica-laudato-si.html" \l "109"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Laudato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si’ [LS]</w:t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, 109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),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además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resulta a veces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indiferente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daños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infligidos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casa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opción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preferencial por los pobres, esta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exigencia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ético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-social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proviene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del amor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hyperlink r:id="rId9" w:anchor="158" w:history="1">
        <w:r w:rsidRPr="00074D75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ca-ES"/>
          </w:rPr>
          <w:t>LS</w:t>
        </w:r>
        <w:r w:rsidRPr="00074D75">
          <w:rPr>
            <w:rFonts w:ascii="Times New Roman" w:eastAsia="Times New Roman" w:hAnsi="Times New Roman" w:cs="Times New Roman"/>
            <w:color w:val="000000" w:themeColor="text1"/>
            <w:u w:val="single"/>
            <w:lang w:eastAsia="ca-ES"/>
          </w:rPr>
          <w:t>, 158</w:t>
        </w:r>
      </w:hyperlink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), nos da el impulso a pensar y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diseñar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economía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donde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personas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y sobre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pobres, estén en el centro. Y nos anima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también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proyectar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cura del virus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privilegiando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aquellos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necesitan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 ¡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triste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si en la vacuna para el Covid-19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diera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prioridad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ricos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!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triste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si esta vacuna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convirtiera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propiedad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esta o aquella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universal y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qué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escándalo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si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toda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asistencia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económica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estamos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viendo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—la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mayor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parte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con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dinero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público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—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concentrase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rescatar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industrias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contribuyen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inclusión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excluidos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promoción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últimos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bien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o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cuidado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creación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(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instrText xml:space="preserve"> HYPERLINK "http://www.vatican.va/content/francesco/es/encyclicals/documents/papa-francesco_20150524_enciclica-laudato-si.html" \l "158" </w:instrTex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ibid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.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).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criterios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elegir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cuáles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serán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industrias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ayudar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: las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contribuyen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inclusión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excluidos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promoción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últimos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bien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común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al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cuidado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creación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Cuatro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criterios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Si el virus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tuviera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nuevamente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intensificarse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un mundo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injusto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los pobres y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vulnerables,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cambiar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este mundo. Con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ejemplo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Jesús,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médico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del amor divino integral, 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decir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física, social y espiritual (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t>Jn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5, 6-9) —como era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sanación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hacía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Jesús—,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tenemos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actuar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ahora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para sanar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epidemias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provocadas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pequeños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virus invisibles, y para sanar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provocadas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por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grandes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visibles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injusticias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sociales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Propongo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que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esto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haga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partir del amor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Dios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poniendo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periferias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el centro y a los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últimos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primer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lugar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olvidar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parámetro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sobre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cual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juzgados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Mateo,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capítulo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25.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Pongámoslo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práctica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este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repunte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epidemia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Y a  partir de este amor concreto,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anclado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esperanza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y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fundado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en la fe, un mundo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más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sano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será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posible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De lo contrario,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saldremos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peor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esta crisis. Que el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Señor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nos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ayude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nos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dé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fuerza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salir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mejores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,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respondiendo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a la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necesidad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del mundo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hoy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.</w:t>
      </w:r>
    </w:p>
    <w:p w:rsidR="00074D75" w:rsidRPr="00074D75" w:rsidRDefault="00074D75" w:rsidP="00074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ca-ES"/>
        </w:rPr>
        <w:t> </w:t>
      </w:r>
    </w:p>
    <w:p w:rsidR="00074D75" w:rsidRPr="00074D75" w:rsidRDefault="00074D75" w:rsidP="00074D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pict>
          <v:rect id="_x0000_i1026" style="width:140.3pt;height:.75pt" o:hrpct="330" o:hrstd="t" o:hrnoshade="t" o:hr="t" fillcolor="black" stroked="f"/>
        </w:pict>
      </w:r>
    </w:p>
    <w:bookmarkStart w:id="3" w:name="_ftn1"/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"http://www.vatican.va/content/francesco/es/audiences/2020/documents/papa-francesco_20200819_udienza-generale.html" \l "_ftnref1" \o ""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[1]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bookmarkEnd w:id="3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cfr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.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Congregación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para la Doctrina de la Fe,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instrText xml:space="preserve"> HYPERLINK "http://www.vatican.va/roman_curia/congregations/cfaith/documents/rc_con_cfaith_doc_19840806_theology-liberation_sp.html" </w:instrTex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Instrucción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sobre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algunos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aspectos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de la "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Teología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de la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Liberación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"</w: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, (1984), cap. V.</w:t>
      </w:r>
    </w:p>
    <w:bookmarkStart w:id="4" w:name="_ftn2"/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a-ES"/>
        </w:rPr>
      </w:pP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lastRenderedPageBreak/>
        <w:fldChar w:fldCharType="begin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instrText xml:space="preserve"> HYPERLINK "http://www.vatican.va/content/francesco/es/audiences/2020/documents/papa-francesco_20200819_udienza-generale.html" \l "_ftnref2" \o "" </w:instrTex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color w:val="000000" w:themeColor="text1"/>
          <w:u w:val="single"/>
          <w:lang w:eastAsia="ca-ES"/>
        </w:rPr>
        <w:t>[2]</w:t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fldChar w:fldCharType="end"/>
      </w:r>
      <w:bookmarkEnd w:id="4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 Benedicto XVI, 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begin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instrText xml:space="preserve"> HYPERLINK "http://www.vatican.va/content/benedict-xvi/es/speeches/2007/may/documents/hf_ben-xvi_spe_20070513_conference-aparecida.html" </w:instrText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separate"/>
      </w:r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Discurso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inaugural de la V Conferencia General del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Episcopado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Latinoamericano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 xml:space="preserve"> y del </w:t>
      </w:r>
      <w:proofErr w:type="spellStart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ca-ES"/>
        </w:rPr>
        <w:t>Caribe</w:t>
      </w:r>
      <w:proofErr w:type="spellEnd"/>
      <w:r w:rsidRPr="00074D75">
        <w:rPr>
          <w:rFonts w:ascii="Times New Roman" w:eastAsia="Times New Roman" w:hAnsi="Times New Roman" w:cs="Times New Roman"/>
          <w:i/>
          <w:iCs/>
          <w:color w:val="000000" w:themeColor="text1"/>
          <w:lang w:eastAsia="ca-ES"/>
        </w:rPr>
        <w:fldChar w:fldCharType="end"/>
      </w:r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 (13 de </w:t>
      </w:r>
      <w:proofErr w:type="spellStart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>mayo</w:t>
      </w:r>
      <w:proofErr w:type="spellEnd"/>
      <w:r w:rsidRPr="00074D75">
        <w:rPr>
          <w:rFonts w:ascii="Times New Roman" w:eastAsia="Times New Roman" w:hAnsi="Times New Roman" w:cs="Times New Roman"/>
          <w:color w:val="000000" w:themeColor="text1"/>
          <w:lang w:eastAsia="ca-ES"/>
        </w:rPr>
        <w:t xml:space="preserve"> de 2007), 3.</w:t>
      </w:r>
    </w:p>
    <w:p w:rsidR="00074D75" w:rsidRPr="00074D75" w:rsidRDefault="00074D75" w:rsidP="00074D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ca-ES"/>
        </w:rPr>
      </w:pPr>
      <w:r w:rsidRPr="00074D75">
        <w:rPr>
          <w:rFonts w:ascii="Tahoma" w:eastAsia="Times New Roman" w:hAnsi="Tahoma" w:cs="Tahoma"/>
          <w:color w:val="000000"/>
          <w:lang w:eastAsia="ca-ES"/>
        </w:rPr>
        <w:t> </w:t>
      </w:r>
    </w:p>
    <w:p w:rsidR="00C44A92" w:rsidRDefault="00C44A92"/>
    <w:sectPr w:rsidR="00C4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5"/>
    <w:rsid w:val="00074D75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6A26"/>
  <w15:chartTrackingRefBased/>
  <w15:docId w15:val="{DCB33F2F-C93F-4515-B95A-1AADE8F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074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francesco/es/apost_exhortations/documents/papa-francesco_esortazione-ap_20131124_evangelii-gaudiu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tican.va/content/francesco/es/apost_exhortations/documents/papa-francesco_esortazione-ap_20131124_evangelii-gaudi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content/francesco/es/apost_exhortations/documents/papa-francesco_esortazione-ap_20131124_evangelii-gaudiu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tican.va/archive/catechism_sp/p3s2c2a7_sp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atican.va/content/francesco/es/apost_exhortations/documents/papa-francesco_esortazione-ap_20131124_evangelii-gaudium.html" TargetMode="External"/><Relationship Id="rId9" Type="http://schemas.openxmlformats.org/officeDocument/2006/relationships/hyperlink" Target="http://www.vatican.va/content/francesco/es/encyclicals/documents/papa-francesco_20150524_enciclica-laudato-si.html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2020-08-31T14:35:00Z</dcterms:created>
  <dcterms:modified xsi:type="dcterms:W3CDTF">2020-08-31T14:37:00Z</dcterms:modified>
</cp:coreProperties>
</file>