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47B6379F"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7A5630" w:rsidRPr="009561E7">
        <w:rPr>
          <w:rFonts w:ascii="Times New Roman" w:hAnsi="Times New Roman" w:cs="Times New Roman"/>
          <w:b/>
          <w:bCs/>
          <w:color w:val="000000" w:themeColor="text1"/>
          <w:sz w:val="24"/>
          <w:szCs w:val="24"/>
          <w:lang w:val="es-ES_tradnl"/>
        </w:rPr>
        <w:t xml:space="preserve"> </w:t>
      </w:r>
      <w:r w:rsidR="00363C03">
        <w:rPr>
          <w:rFonts w:ascii="Times New Roman" w:hAnsi="Times New Roman" w:cs="Times New Roman"/>
          <w:b/>
          <w:bCs/>
          <w:color w:val="000000" w:themeColor="text1"/>
          <w:sz w:val="24"/>
          <w:szCs w:val="24"/>
          <w:lang w:val="es-ES_tradnl"/>
        </w:rPr>
        <w:t>26</w:t>
      </w:r>
      <w:r w:rsidR="00241EFA" w:rsidRPr="009561E7">
        <w:rPr>
          <w:rFonts w:ascii="Times New Roman" w:hAnsi="Times New Roman" w:cs="Times New Roman"/>
          <w:b/>
          <w:bCs/>
          <w:color w:val="000000" w:themeColor="text1"/>
          <w:sz w:val="24"/>
          <w:szCs w:val="24"/>
          <w:lang w:val="es-ES_tradnl"/>
        </w:rPr>
        <w:t xml:space="preserve"> d</w:t>
      </w:r>
      <w:r w:rsidRPr="009561E7">
        <w:rPr>
          <w:rFonts w:ascii="Times New Roman" w:hAnsi="Times New Roman" w:cs="Times New Roman"/>
          <w:b/>
          <w:bCs/>
          <w:color w:val="000000" w:themeColor="text1"/>
          <w:sz w:val="24"/>
          <w:szCs w:val="24"/>
          <w:lang w:val="es-ES_tradnl"/>
        </w:rPr>
        <w:t xml:space="preserve">e </w:t>
      </w:r>
      <w:r w:rsidR="00241EFA" w:rsidRPr="009561E7">
        <w:rPr>
          <w:rFonts w:ascii="Times New Roman" w:hAnsi="Times New Roman" w:cs="Times New Roman"/>
          <w:b/>
          <w:bCs/>
          <w:color w:val="000000" w:themeColor="text1"/>
          <w:sz w:val="24"/>
          <w:szCs w:val="24"/>
          <w:lang w:val="es-ES_tradnl"/>
        </w:rPr>
        <w:t>agost</w:t>
      </w:r>
      <w:r w:rsidRPr="009561E7">
        <w:rPr>
          <w:rFonts w:ascii="Times New Roman" w:hAnsi="Times New Roman" w:cs="Times New Roman"/>
          <w:b/>
          <w:bCs/>
          <w:color w:val="000000" w:themeColor="text1"/>
          <w:sz w:val="24"/>
          <w:szCs w:val="24"/>
          <w:lang w:val="es-ES_tradnl"/>
        </w:rPr>
        <w:t>o</w:t>
      </w:r>
      <w:r w:rsidR="00737AF4" w:rsidRPr="009561E7">
        <w:rPr>
          <w:rFonts w:ascii="Times New Roman" w:hAnsi="Times New Roman" w:cs="Times New Roman"/>
          <w:b/>
          <w:bCs/>
          <w:color w:val="000000" w:themeColor="text1"/>
          <w:sz w:val="24"/>
          <w:szCs w:val="24"/>
          <w:lang w:val="es-ES_tradnl"/>
        </w:rPr>
        <w:t xml:space="preserve"> </w:t>
      </w:r>
      <w:r w:rsidR="00B73397" w:rsidRPr="009561E7">
        <w:rPr>
          <w:rFonts w:ascii="Times New Roman" w:hAnsi="Times New Roman" w:cs="Times New Roman"/>
          <w:b/>
          <w:bCs/>
          <w:color w:val="000000" w:themeColor="text1"/>
          <w:sz w:val="24"/>
          <w:szCs w:val="24"/>
          <w:lang w:val="es-ES_tradnl"/>
        </w:rPr>
        <w:t>de 2020</w:t>
      </w:r>
    </w:p>
    <w:p w14:paraId="2DD217E1" w14:textId="48CB9241" w:rsidR="00363C03" w:rsidRPr="00363C03" w:rsidRDefault="00C87D57" w:rsidP="00363C03">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Pr="009561E7">
        <w:rPr>
          <w:rFonts w:ascii="Times New Roman" w:hAnsi="Times New Roman" w:cs="Times New Roman"/>
          <w:b/>
          <w:bCs/>
          <w:color w:val="000000" w:themeColor="text1"/>
          <w:sz w:val="24"/>
          <w:szCs w:val="24"/>
          <w:lang w:val="es-ES_tradnl"/>
        </w:rPr>
        <w:t xml:space="preserve"> </w:t>
      </w:r>
      <w:r w:rsidR="00241EFA" w:rsidRPr="009561E7">
        <w:rPr>
          <w:rFonts w:ascii="Times New Roman" w:hAnsi="Times New Roman" w:cs="Times New Roman"/>
          <w:b/>
          <w:bCs/>
          <w:color w:val="000000" w:themeColor="text1"/>
          <w:sz w:val="24"/>
          <w:szCs w:val="24"/>
          <w:lang w:val="es-ES_tradnl"/>
        </w:rPr>
        <w:t>- «</w:t>
      </w:r>
      <w:r w:rsidR="009561E7">
        <w:rPr>
          <w:rFonts w:ascii="Times New Roman" w:hAnsi="Times New Roman" w:cs="Times New Roman"/>
          <w:b/>
          <w:bCs/>
          <w:color w:val="000000" w:themeColor="text1"/>
          <w:sz w:val="24"/>
          <w:szCs w:val="24"/>
          <w:lang w:val="es-ES_tradnl"/>
        </w:rPr>
        <w:t>Curar el mundo</w:t>
      </w:r>
      <w:r w:rsidR="00241EFA" w:rsidRPr="009561E7">
        <w:rPr>
          <w:rFonts w:ascii="Times New Roman" w:hAnsi="Times New Roman" w:cs="Times New Roman"/>
          <w:b/>
          <w:bCs/>
          <w:color w:val="000000" w:themeColor="text1"/>
          <w:sz w:val="24"/>
          <w:szCs w:val="24"/>
          <w:lang w:val="es-ES_tradnl"/>
        </w:rPr>
        <w:t>»</w:t>
      </w:r>
      <w:r w:rsidRPr="009561E7">
        <w:rPr>
          <w:rFonts w:ascii="Times New Roman" w:hAnsi="Times New Roman" w:cs="Times New Roman"/>
          <w:b/>
          <w:bCs/>
          <w:color w:val="000000" w:themeColor="text1"/>
          <w:sz w:val="24"/>
          <w:szCs w:val="24"/>
          <w:lang w:val="es-ES_tradnl"/>
        </w:rPr>
        <w:t xml:space="preserve">: </w:t>
      </w:r>
      <w:r w:rsidR="00363C03" w:rsidRPr="00363C03">
        <w:rPr>
          <w:rFonts w:ascii="Times New Roman" w:hAnsi="Times New Roman" w:cs="Times New Roman"/>
          <w:b/>
          <w:bCs/>
          <w:color w:val="000000" w:themeColor="text1"/>
          <w:sz w:val="24"/>
          <w:szCs w:val="24"/>
          <w:lang w:val="es-ES_tradnl"/>
        </w:rPr>
        <w:t>4. El destino universal de los bienes y la virtud de la esperanza</w:t>
      </w:r>
    </w:p>
    <w:p w14:paraId="795BF759" w14:textId="77777777"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0E2EA067" w14:textId="77777777"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Ante de la pandemia y sus consecuencias sociales, muchos corren el riesgo de perder la esperanza. En este tiempo de incertidumbre y de angustia, invito a todos a acoger el don de la esperanza que viene de Cristo. Él nos ayuda a navegar en las aguas turbulentas de la enfermedad, de la muerte y de la injusticia, que no tienen la última palabra sobre nuestro destino final.</w:t>
      </w:r>
    </w:p>
    <w:p w14:paraId="10E434B8" w14:textId="77777777"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La pandemia ha puesto de relieve y agravado problemas sociales, sobre todo la desigualdad. Algunos pueden trabajar desde casa, mientras que para muchos otros esto es imposible. Ciertos niños, a pesar de las dificultades, pueden seguir recibiendo una educación escolar, mientras que para muchísimos otros esta se ha interrumpido bruscamente. Algunas naciones poderosas pueden emitir moneda para afrontar la emergencia, mientras que para otras esto significaría hipotecar el futuro.</w:t>
      </w:r>
    </w:p>
    <w:p w14:paraId="7DF42ED8" w14:textId="4455D910"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Estos síntomas de desigualdad revelan una enfermedad social; es un virus que viene de una economía enferma. Tenemos que decirlo sencillamente: la economía está enferma. Se ha enfermado. Es el fruto de un crecimiento económico injusto —esta es la enfermedad: el fruto de un crecimiento económico injusto— que prescinde de los valores humanos fundamentales. En el mundo de hoy, unos pocos muy ricos poseen más que todo el resto de la humanidad. Repito esto porque nos hará pensar: pocos muy ricos, un grupito, poseen más que todo el resto de la humanidad. Esto es estadística pura. ¡Es una injusticia que clama al cielo! Al mismo tiempo, este modelo económico es indiferente a los daños infligidos a la casa común. No cuida de la casa común. Estamos cerca de superar muchos de los límites de nuestro maravilloso planeta, con consecuencias graves e irreversibles: de la pérdida de biodiversidad y del cambio climático hasta el aumento del nivel de los mares y a la destrucción de los bosques tropicales. La desigualdad social y el degrado ambiental van de</w:t>
      </w:r>
      <w:r w:rsidR="00C33836">
        <w:rPr>
          <w:rFonts w:ascii="Times New Roman" w:eastAsia="Times New Roman" w:hAnsi="Times New Roman" w:cs="Times New Roman"/>
          <w:color w:val="000000" w:themeColor="text1"/>
          <w:sz w:val="24"/>
          <w:szCs w:val="24"/>
          <w:lang w:val="es-ES_tradnl" w:eastAsia="es-ES" w:bidi="th-TH"/>
        </w:rPr>
        <w:t xml:space="preserve"> la mano y tienen la misma raíz</w:t>
      </w:r>
      <w:r w:rsidRPr="007605E7">
        <w:rPr>
          <w:rFonts w:ascii="Times New Roman" w:eastAsia="Times New Roman" w:hAnsi="Times New Roman" w:cs="Times New Roman"/>
          <w:color w:val="000000" w:themeColor="text1"/>
          <w:sz w:val="24"/>
          <w:szCs w:val="24"/>
          <w:lang w:val="es-ES_tradnl" w:eastAsia="es-ES" w:bidi="th-TH"/>
        </w:rPr>
        <w:t xml:space="preserve"> (cfr. </w:t>
      </w:r>
      <w:proofErr w:type="spellStart"/>
      <w:r w:rsidRPr="007605E7">
        <w:rPr>
          <w:rFonts w:ascii="Times New Roman" w:eastAsia="Times New Roman" w:hAnsi="Times New Roman" w:cs="Times New Roman"/>
          <w:color w:val="000000" w:themeColor="text1"/>
          <w:sz w:val="24"/>
          <w:szCs w:val="24"/>
          <w:lang w:val="es-ES_tradnl" w:eastAsia="es-ES" w:bidi="th-TH"/>
        </w:rPr>
        <w:t>Enc</w:t>
      </w:r>
      <w:proofErr w:type="spellEnd"/>
      <w:r w:rsidRPr="007605E7">
        <w:rPr>
          <w:rFonts w:ascii="Times New Roman" w:eastAsia="Times New Roman" w:hAnsi="Times New Roman" w:cs="Times New Roman"/>
          <w:color w:val="000000" w:themeColor="text1"/>
          <w:sz w:val="24"/>
          <w:szCs w:val="24"/>
          <w:lang w:val="es-ES_tradnl" w:eastAsia="es-ES" w:bidi="th-TH"/>
        </w:rPr>
        <w:t xml:space="preserve">. </w:t>
      </w:r>
      <w:r w:rsidRPr="00C33836">
        <w:rPr>
          <w:rFonts w:ascii="Times New Roman" w:eastAsia="Times New Roman" w:hAnsi="Times New Roman" w:cs="Times New Roman"/>
          <w:i/>
          <w:color w:val="000000" w:themeColor="text1"/>
          <w:sz w:val="24"/>
          <w:szCs w:val="24"/>
          <w:lang w:val="es-ES_tradnl" w:eastAsia="es-ES" w:bidi="th-TH"/>
        </w:rPr>
        <w:t>Laudato si’</w:t>
      </w:r>
      <w:r w:rsidRPr="007605E7">
        <w:rPr>
          <w:rFonts w:ascii="Times New Roman" w:eastAsia="Times New Roman" w:hAnsi="Times New Roman" w:cs="Times New Roman"/>
          <w:color w:val="000000" w:themeColor="text1"/>
          <w:sz w:val="24"/>
          <w:szCs w:val="24"/>
          <w:lang w:val="es-ES_tradnl" w:eastAsia="es-ES" w:bidi="th-TH"/>
        </w:rPr>
        <w:t>, 101): la del pecado de querer poseer, de querer dominar a los hermanos y las hermanas, de querer poseer y dominar la naturaleza y al mismo Dios. Pero este no es el diseño de la creación.</w:t>
      </w:r>
    </w:p>
    <w:p w14:paraId="32668644" w14:textId="57B70171"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«Al comienzo Dios confió la tierra y sus recursos a la administración común de la humanidad para que tuviera cuidado de ellos» (</w:t>
      </w:r>
      <w:r w:rsidRPr="00C33836">
        <w:rPr>
          <w:rFonts w:ascii="Times New Roman" w:eastAsia="Times New Roman" w:hAnsi="Times New Roman" w:cs="Times New Roman"/>
          <w:i/>
          <w:color w:val="000000" w:themeColor="text1"/>
          <w:sz w:val="24"/>
          <w:szCs w:val="24"/>
          <w:lang w:val="es-ES_tradnl" w:eastAsia="es-ES" w:bidi="th-TH"/>
        </w:rPr>
        <w:t xml:space="preserve">Catecismo de la Iglesia </w:t>
      </w:r>
      <w:r w:rsidR="00C33836" w:rsidRPr="00C33836">
        <w:rPr>
          <w:rFonts w:ascii="Times New Roman" w:eastAsia="Times New Roman" w:hAnsi="Times New Roman" w:cs="Times New Roman"/>
          <w:i/>
          <w:color w:val="000000" w:themeColor="text1"/>
          <w:sz w:val="24"/>
          <w:szCs w:val="24"/>
          <w:lang w:val="es-ES_tradnl" w:eastAsia="es-ES" w:bidi="th-TH"/>
        </w:rPr>
        <w:t>c</w:t>
      </w:r>
      <w:r w:rsidRPr="00C33836">
        <w:rPr>
          <w:rFonts w:ascii="Times New Roman" w:eastAsia="Times New Roman" w:hAnsi="Times New Roman" w:cs="Times New Roman"/>
          <w:i/>
          <w:color w:val="000000" w:themeColor="text1"/>
          <w:sz w:val="24"/>
          <w:szCs w:val="24"/>
          <w:lang w:val="es-ES_tradnl" w:eastAsia="es-ES" w:bidi="th-TH"/>
        </w:rPr>
        <w:t>atólica</w:t>
      </w:r>
      <w:r w:rsidRPr="007605E7">
        <w:rPr>
          <w:rFonts w:ascii="Times New Roman" w:eastAsia="Times New Roman" w:hAnsi="Times New Roman" w:cs="Times New Roman"/>
          <w:color w:val="000000" w:themeColor="text1"/>
          <w:sz w:val="24"/>
          <w:szCs w:val="24"/>
          <w:lang w:val="es-ES_tradnl" w:eastAsia="es-ES" w:bidi="th-TH"/>
        </w:rPr>
        <w:t>, 2402). Dios nos ha pedido dominar la tierra en su nombre (cfr. Gen 1, 28), cultivándola y cuidándola como un jardín, el jardín de todos (cfr. Gen 2,15). «Mientras “labrar” significa cultivar, arar o t</w:t>
      </w:r>
      <w:r w:rsidR="00C33836">
        <w:rPr>
          <w:rFonts w:ascii="Times New Roman" w:eastAsia="Times New Roman" w:hAnsi="Times New Roman" w:cs="Times New Roman"/>
          <w:color w:val="000000" w:themeColor="text1"/>
          <w:sz w:val="24"/>
          <w:szCs w:val="24"/>
          <w:lang w:val="es-ES_tradnl" w:eastAsia="es-ES" w:bidi="th-TH"/>
        </w:rPr>
        <w:t xml:space="preserve">rabajar [...], </w:t>
      </w:r>
      <w:r w:rsidRPr="007605E7">
        <w:rPr>
          <w:rFonts w:ascii="Times New Roman" w:eastAsia="Times New Roman" w:hAnsi="Times New Roman" w:cs="Times New Roman"/>
          <w:color w:val="000000" w:themeColor="text1"/>
          <w:sz w:val="24"/>
          <w:szCs w:val="24"/>
          <w:lang w:val="es-ES_tradnl" w:eastAsia="es-ES" w:bidi="th-TH"/>
        </w:rPr>
        <w:t>“cuidar” significa proteger, custodiar, preservar» (LS, 67). Pero cuidado con no interpretar esto como carta blanca para hacer de la tierra lo que uno quiere. No. Existe «una relación de reciprocidad responsable» (</w:t>
      </w:r>
      <w:r w:rsidRPr="00C33836">
        <w:rPr>
          <w:rFonts w:ascii="Times New Roman" w:eastAsia="Times New Roman" w:hAnsi="Times New Roman" w:cs="Times New Roman"/>
          <w:i/>
          <w:color w:val="000000" w:themeColor="text1"/>
          <w:sz w:val="24"/>
          <w:szCs w:val="24"/>
          <w:lang w:val="es-ES_tradnl" w:eastAsia="es-ES" w:bidi="th-TH"/>
        </w:rPr>
        <w:t>ibid</w:t>
      </w:r>
      <w:r w:rsidRPr="007605E7">
        <w:rPr>
          <w:rFonts w:ascii="Times New Roman" w:eastAsia="Times New Roman" w:hAnsi="Times New Roman" w:cs="Times New Roman"/>
          <w:color w:val="000000" w:themeColor="text1"/>
          <w:sz w:val="24"/>
          <w:szCs w:val="24"/>
          <w:lang w:val="es-ES_tradnl" w:eastAsia="es-ES" w:bidi="th-TH"/>
        </w:rPr>
        <w:t>.) entre nosotros y la naturaleza. Una relación de reciprocidad responsable entre nosotros y la naturaleza. Recibimos de la creación y damos a nuestra vez. «Cada comunidad puede tomar de la bondad de la tierra lo que necesita para su supervivencia, pero también tiene el deber de protegerla» (</w:t>
      </w:r>
      <w:r w:rsidRPr="00C33836">
        <w:rPr>
          <w:rFonts w:ascii="Times New Roman" w:eastAsia="Times New Roman" w:hAnsi="Times New Roman" w:cs="Times New Roman"/>
          <w:i/>
          <w:color w:val="000000" w:themeColor="text1"/>
          <w:sz w:val="24"/>
          <w:szCs w:val="24"/>
          <w:lang w:val="es-ES_tradnl" w:eastAsia="es-ES" w:bidi="th-TH"/>
        </w:rPr>
        <w:t>ibid</w:t>
      </w:r>
      <w:r w:rsidRPr="007605E7">
        <w:rPr>
          <w:rFonts w:ascii="Times New Roman" w:eastAsia="Times New Roman" w:hAnsi="Times New Roman" w:cs="Times New Roman"/>
          <w:color w:val="000000" w:themeColor="text1"/>
          <w:sz w:val="24"/>
          <w:szCs w:val="24"/>
          <w:lang w:val="es-ES_tradnl" w:eastAsia="es-ES" w:bidi="th-TH"/>
        </w:rPr>
        <w:t>.). Ambas partes.</w:t>
      </w:r>
    </w:p>
    <w:p w14:paraId="193EB721" w14:textId="234BD603"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lastRenderedPageBreak/>
        <w:t>De hecho, la tierra «nos precede y nos ha sido dada» (</w:t>
      </w:r>
      <w:r w:rsidRPr="00C33836">
        <w:rPr>
          <w:rFonts w:ascii="Times New Roman" w:eastAsia="Times New Roman" w:hAnsi="Times New Roman" w:cs="Times New Roman"/>
          <w:i/>
          <w:color w:val="000000" w:themeColor="text1"/>
          <w:sz w:val="24"/>
          <w:szCs w:val="24"/>
          <w:lang w:val="es-ES_tradnl" w:eastAsia="es-ES" w:bidi="th-TH"/>
        </w:rPr>
        <w:t>ibid</w:t>
      </w:r>
      <w:r w:rsidRPr="007605E7">
        <w:rPr>
          <w:rFonts w:ascii="Times New Roman" w:eastAsia="Times New Roman" w:hAnsi="Times New Roman" w:cs="Times New Roman"/>
          <w:color w:val="000000" w:themeColor="text1"/>
          <w:sz w:val="24"/>
          <w:szCs w:val="24"/>
          <w:lang w:val="es-ES_tradnl" w:eastAsia="es-ES" w:bidi="th-TH"/>
        </w:rPr>
        <w:t>.), ha sido dada por Dios «a toda la humanidad» (</w:t>
      </w:r>
      <w:proofErr w:type="spellStart"/>
      <w:r w:rsidRPr="007605E7">
        <w:rPr>
          <w:rFonts w:ascii="Times New Roman" w:eastAsia="Times New Roman" w:hAnsi="Times New Roman" w:cs="Times New Roman"/>
          <w:color w:val="000000" w:themeColor="text1"/>
          <w:sz w:val="24"/>
          <w:szCs w:val="24"/>
          <w:lang w:val="es-ES_tradnl" w:eastAsia="es-ES" w:bidi="th-TH"/>
        </w:rPr>
        <w:t>CIC</w:t>
      </w:r>
      <w:proofErr w:type="spellEnd"/>
      <w:r w:rsidRPr="007605E7">
        <w:rPr>
          <w:rFonts w:ascii="Times New Roman" w:eastAsia="Times New Roman" w:hAnsi="Times New Roman" w:cs="Times New Roman"/>
          <w:color w:val="000000" w:themeColor="text1"/>
          <w:sz w:val="24"/>
          <w:szCs w:val="24"/>
          <w:lang w:val="es-ES_tradnl" w:eastAsia="es-ES" w:bidi="th-TH"/>
        </w:rPr>
        <w:t xml:space="preserve">, 2402). Y por tanto es nuestro deber hacer que sus frutos lleguen a todos, no solo a algunos. Y este es un elemento-clave de nuestra relación con los bienes terrenos. Como recordaban los padres del Concilio Vaticano II «el hombre, al usarlos, no debe tener las cosas exteriores que legítimamente posee como exclusivamente suyas, sino también como comunes, en el sentido de que no le aprovechen a él solamente, sino también a los demás» (Const. </w:t>
      </w:r>
      <w:proofErr w:type="spellStart"/>
      <w:r w:rsidRPr="007605E7">
        <w:rPr>
          <w:rFonts w:ascii="Times New Roman" w:eastAsia="Times New Roman" w:hAnsi="Times New Roman" w:cs="Times New Roman"/>
          <w:color w:val="000000" w:themeColor="text1"/>
          <w:sz w:val="24"/>
          <w:szCs w:val="24"/>
          <w:lang w:val="es-ES_tradnl" w:eastAsia="es-ES" w:bidi="th-TH"/>
        </w:rPr>
        <w:t>past</w:t>
      </w:r>
      <w:proofErr w:type="spellEnd"/>
      <w:r w:rsidRPr="007605E7">
        <w:rPr>
          <w:rFonts w:ascii="Times New Roman" w:eastAsia="Times New Roman" w:hAnsi="Times New Roman" w:cs="Times New Roman"/>
          <w:color w:val="000000" w:themeColor="text1"/>
          <w:sz w:val="24"/>
          <w:szCs w:val="24"/>
          <w:lang w:val="es-ES_tradnl" w:eastAsia="es-ES" w:bidi="th-TH"/>
        </w:rPr>
        <w:t xml:space="preserve">. </w:t>
      </w:r>
      <w:r w:rsidRPr="00C33836">
        <w:rPr>
          <w:rFonts w:ascii="Times New Roman" w:eastAsia="Times New Roman" w:hAnsi="Times New Roman" w:cs="Times New Roman"/>
          <w:i/>
          <w:color w:val="000000" w:themeColor="text1"/>
          <w:sz w:val="24"/>
          <w:szCs w:val="24"/>
          <w:lang w:val="es-ES_tradnl" w:eastAsia="es-ES" w:bidi="th-TH"/>
        </w:rPr>
        <w:t>Gaudium et spes</w:t>
      </w:r>
      <w:r w:rsidRPr="007605E7">
        <w:rPr>
          <w:rFonts w:ascii="Times New Roman" w:eastAsia="Times New Roman" w:hAnsi="Times New Roman" w:cs="Times New Roman"/>
          <w:color w:val="000000" w:themeColor="text1"/>
          <w:sz w:val="24"/>
          <w:szCs w:val="24"/>
          <w:lang w:val="es-ES_tradnl" w:eastAsia="es-ES" w:bidi="th-TH"/>
        </w:rPr>
        <w:t>, 69). De hecho, «la propiedad de un bien hace de su dueño un administrador de la providencia para hacerlo fructificar y comunicar sus beneficios a otros» (</w:t>
      </w:r>
      <w:proofErr w:type="spellStart"/>
      <w:r w:rsidRPr="007605E7">
        <w:rPr>
          <w:rFonts w:ascii="Times New Roman" w:eastAsia="Times New Roman" w:hAnsi="Times New Roman" w:cs="Times New Roman"/>
          <w:color w:val="000000" w:themeColor="text1"/>
          <w:sz w:val="24"/>
          <w:szCs w:val="24"/>
          <w:lang w:val="es-ES_tradnl" w:eastAsia="es-ES" w:bidi="th-TH"/>
        </w:rPr>
        <w:t>CIC</w:t>
      </w:r>
      <w:proofErr w:type="spellEnd"/>
      <w:r w:rsidRPr="007605E7">
        <w:rPr>
          <w:rFonts w:ascii="Times New Roman" w:eastAsia="Times New Roman" w:hAnsi="Times New Roman" w:cs="Times New Roman"/>
          <w:color w:val="000000" w:themeColor="text1"/>
          <w:sz w:val="24"/>
          <w:szCs w:val="24"/>
          <w:lang w:val="es-ES_tradnl" w:eastAsia="es-ES" w:bidi="th-TH"/>
        </w:rPr>
        <w:t xml:space="preserve">, 2404). Nosotros somos administradores de los bienes, no dueños. Administradores. </w:t>
      </w:r>
      <w:r w:rsidR="00C33836">
        <w:rPr>
          <w:rFonts w:ascii="Times New Roman" w:eastAsia="Times New Roman" w:hAnsi="Times New Roman" w:cs="Times New Roman"/>
          <w:color w:val="000000" w:themeColor="text1"/>
          <w:sz w:val="24"/>
          <w:szCs w:val="24"/>
          <w:lang w:val="es-ES_tradnl" w:eastAsia="es-ES" w:bidi="th-TH"/>
        </w:rPr>
        <w:t>«Sí, pero el bien es mío</w:t>
      </w:r>
      <w:r w:rsidRPr="007605E7">
        <w:rPr>
          <w:rFonts w:ascii="Times New Roman" w:eastAsia="Times New Roman" w:hAnsi="Times New Roman" w:cs="Times New Roman"/>
          <w:color w:val="000000" w:themeColor="text1"/>
          <w:sz w:val="24"/>
          <w:szCs w:val="24"/>
          <w:lang w:val="es-ES_tradnl" w:eastAsia="es-ES" w:bidi="th-TH"/>
        </w:rPr>
        <w:t>.</w:t>
      </w:r>
      <w:r w:rsidR="00C33836">
        <w:rPr>
          <w:rFonts w:ascii="Times New Roman" w:eastAsia="Times New Roman" w:hAnsi="Times New Roman" w:cs="Times New Roman"/>
          <w:color w:val="000000" w:themeColor="text1"/>
          <w:sz w:val="24"/>
          <w:szCs w:val="24"/>
          <w:lang w:val="es-ES_tradnl" w:eastAsia="es-ES" w:bidi="th-TH"/>
        </w:rPr>
        <w:t>»</w:t>
      </w:r>
      <w:r w:rsidRPr="007605E7">
        <w:rPr>
          <w:rFonts w:ascii="Times New Roman" w:eastAsia="Times New Roman" w:hAnsi="Times New Roman" w:cs="Times New Roman"/>
          <w:color w:val="000000" w:themeColor="text1"/>
          <w:sz w:val="24"/>
          <w:szCs w:val="24"/>
          <w:lang w:val="es-ES_tradnl" w:eastAsia="es-ES" w:bidi="th-TH"/>
        </w:rPr>
        <w:t xml:space="preserve"> Es verdad, es tuyo, pero para administrarlo, no para tenerlo egoístamente para ti.</w:t>
      </w:r>
    </w:p>
    <w:p w14:paraId="3B82F72F" w14:textId="51CACD14"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Para asegurar que lo que poseemos lleve valor a la comunidad, «la autoridad política tiene el derecho y el deber de regular en función del bien común el ejercicio legítimo del derecho de propiedad» (</w:t>
      </w:r>
      <w:r w:rsidRPr="00620297">
        <w:rPr>
          <w:rFonts w:ascii="Times New Roman" w:eastAsia="Times New Roman" w:hAnsi="Times New Roman" w:cs="Times New Roman"/>
          <w:i/>
          <w:color w:val="000000" w:themeColor="text1"/>
          <w:sz w:val="24"/>
          <w:szCs w:val="24"/>
          <w:lang w:val="es-ES_tradnl" w:eastAsia="es-ES" w:bidi="th-TH"/>
        </w:rPr>
        <w:t>ibid</w:t>
      </w:r>
      <w:r w:rsidRPr="007605E7">
        <w:rPr>
          <w:rFonts w:ascii="Times New Roman" w:eastAsia="Times New Roman" w:hAnsi="Times New Roman" w:cs="Times New Roman"/>
          <w:color w:val="000000" w:themeColor="text1"/>
          <w:sz w:val="24"/>
          <w:szCs w:val="24"/>
          <w:lang w:val="es-ES_tradnl" w:eastAsia="es-ES" w:bidi="th-TH"/>
        </w:rPr>
        <w:t xml:space="preserve">., </w:t>
      </w:r>
      <w:proofErr w:type="gramStart"/>
      <w:r w:rsidRPr="007605E7">
        <w:rPr>
          <w:rFonts w:ascii="Times New Roman" w:eastAsia="Times New Roman" w:hAnsi="Times New Roman" w:cs="Times New Roman"/>
          <w:color w:val="000000" w:themeColor="text1"/>
          <w:sz w:val="24"/>
          <w:szCs w:val="24"/>
          <w:lang w:val="es-ES_tradnl" w:eastAsia="es-ES" w:bidi="th-TH"/>
        </w:rPr>
        <w:t>2406)[</w:t>
      </w:r>
      <w:proofErr w:type="gramEnd"/>
      <w:r w:rsidRPr="007605E7">
        <w:rPr>
          <w:rFonts w:ascii="Times New Roman" w:eastAsia="Times New Roman" w:hAnsi="Times New Roman" w:cs="Times New Roman"/>
          <w:color w:val="000000" w:themeColor="text1"/>
          <w:sz w:val="24"/>
          <w:szCs w:val="24"/>
          <w:lang w:val="es-ES_tradnl" w:eastAsia="es-ES" w:bidi="th-TH"/>
        </w:rPr>
        <w:t>1].</w:t>
      </w:r>
      <w:r w:rsidR="00C33836">
        <w:rPr>
          <w:rStyle w:val="Refernciadenotaapeudepgina"/>
          <w:rFonts w:ascii="Times New Roman" w:eastAsia="Times New Roman" w:hAnsi="Times New Roman" w:cs="Times New Roman"/>
          <w:color w:val="000000" w:themeColor="text1"/>
          <w:sz w:val="24"/>
          <w:szCs w:val="24"/>
          <w:lang w:val="es-ES_tradnl" w:eastAsia="es-ES" w:bidi="th-TH"/>
        </w:rPr>
        <w:footnoteReference w:id="1"/>
      </w:r>
      <w:r w:rsidRPr="007605E7">
        <w:rPr>
          <w:rFonts w:ascii="Times New Roman" w:eastAsia="Times New Roman" w:hAnsi="Times New Roman" w:cs="Times New Roman"/>
          <w:color w:val="000000" w:themeColor="text1"/>
          <w:sz w:val="24"/>
          <w:szCs w:val="24"/>
          <w:lang w:val="es-ES_tradnl" w:eastAsia="es-ES" w:bidi="th-TH"/>
        </w:rPr>
        <w:t xml:space="preserve"> La «subordinación de la propiedad privada al destino universal de los bienes [...] es una “regla de oro” del comportamiento social y el primer principio de todo el ordenamiento ético-social» (LS, 93)[2].</w:t>
      </w:r>
      <w:r w:rsidR="00C33836">
        <w:rPr>
          <w:rStyle w:val="Refernciadenotaapeudepgina"/>
          <w:rFonts w:ascii="Times New Roman" w:eastAsia="Times New Roman" w:hAnsi="Times New Roman" w:cs="Times New Roman"/>
          <w:color w:val="000000" w:themeColor="text1"/>
          <w:sz w:val="24"/>
          <w:szCs w:val="24"/>
          <w:lang w:val="es-ES_tradnl" w:eastAsia="es-ES" w:bidi="th-TH"/>
        </w:rPr>
        <w:footnoteReference w:id="2"/>
      </w:r>
    </w:p>
    <w:p w14:paraId="14B370C0" w14:textId="6FEF5E80"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Las propiedades, el dinero son instrumentos que pueden servir a la misión. Pero los transformamos fácilmente en fines, individuales o colectivos. Y cuando esto sucede, se socavan los valores humanos esenciales. El</w:t>
      </w:r>
      <w:bookmarkStart w:id="0" w:name="_GoBack"/>
      <w:bookmarkEnd w:id="0"/>
      <w:r w:rsidRPr="007605E7">
        <w:rPr>
          <w:rFonts w:ascii="Times New Roman" w:eastAsia="Times New Roman" w:hAnsi="Times New Roman" w:cs="Times New Roman"/>
          <w:color w:val="000000" w:themeColor="text1"/>
          <w:sz w:val="24"/>
          <w:szCs w:val="24"/>
          <w:lang w:val="es-ES_tradnl" w:eastAsia="es-ES" w:bidi="th-TH"/>
        </w:rPr>
        <w:t xml:space="preserve"> </w:t>
      </w:r>
      <w:r w:rsidRPr="00620297">
        <w:rPr>
          <w:rFonts w:ascii="Times New Roman" w:eastAsia="Times New Roman" w:hAnsi="Times New Roman" w:cs="Times New Roman"/>
          <w:i/>
          <w:color w:val="000000" w:themeColor="text1"/>
          <w:sz w:val="24"/>
          <w:szCs w:val="24"/>
          <w:lang w:val="es-ES_tradnl" w:eastAsia="es-ES" w:bidi="th-TH"/>
        </w:rPr>
        <w:t>homo sapiens</w:t>
      </w:r>
      <w:r w:rsidRPr="007605E7">
        <w:rPr>
          <w:rFonts w:ascii="Times New Roman" w:eastAsia="Times New Roman" w:hAnsi="Times New Roman" w:cs="Times New Roman"/>
          <w:color w:val="000000" w:themeColor="text1"/>
          <w:sz w:val="24"/>
          <w:szCs w:val="24"/>
          <w:lang w:val="es-ES_tradnl" w:eastAsia="es-ES" w:bidi="th-TH"/>
        </w:rPr>
        <w:t xml:space="preserve"> se deforma y se convierte en una especie de </w:t>
      </w:r>
      <w:r w:rsidRPr="00C33836">
        <w:rPr>
          <w:rFonts w:ascii="Times New Roman" w:eastAsia="Times New Roman" w:hAnsi="Times New Roman" w:cs="Times New Roman"/>
          <w:i/>
          <w:color w:val="000000" w:themeColor="text1"/>
          <w:sz w:val="24"/>
          <w:szCs w:val="24"/>
          <w:lang w:val="es-ES_tradnl" w:eastAsia="es-ES" w:bidi="th-TH"/>
        </w:rPr>
        <w:t>homo œconomicus</w:t>
      </w:r>
      <w:r w:rsidRPr="007605E7">
        <w:rPr>
          <w:rFonts w:ascii="Times New Roman" w:eastAsia="Times New Roman" w:hAnsi="Times New Roman" w:cs="Times New Roman"/>
          <w:color w:val="000000" w:themeColor="text1"/>
          <w:sz w:val="24"/>
          <w:szCs w:val="24"/>
          <w:lang w:val="es-ES_tradnl" w:eastAsia="es-ES" w:bidi="th-TH"/>
        </w:rPr>
        <w:t xml:space="preserve"> —en un sentido peor— individualista, calculador y dominador. Nos olvidamos de que, siendo creados a imagen y semejanza de Dios, somos seres sociales, creativos y solidarios, con una inmensa capacidad de amar. Nos olvidamos a menudo de esto. De hecho, somos los seres más cooperativos entre todas las especies, y florecemos en comunidad, como se ve bien en la experiencia de los santos[3].</w:t>
      </w:r>
      <w:r w:rsidR="00C33836">
        <w:rPr>
          <w:rStyle w:val="Refernciadenotaapeudepgina"/>
          <w:rFonts w:ascii="Times New Roman" w:eastAsia="Times New Roman" w:hAnsi="Times New Roman" w:cs="Times New Roman"/>
          <w:color w:val="000000" w:themeColor="text1"/>
          <w:sz w:val="24"/>
          <w:szCs w:val="24"/>
          <w:lang w:val="es-ES_tradnl" w:eastAsia="es-ES" w:bidi="th-TH"/>
        </w:rPr>
        <w:footnoteReference w:id="3"/>
      </w:r>
      <w:r w:rsidRPr="007605E7">
        <w:rPr>
          <w:rFonts w:ascii="Times New Roman" w:eastAsia="Times New Roman" w:hAnsi="Times New Roman" w:cs="Times New Roman"/>
          <w:color w:val="000000" w:themeColor="text1"/>
          <w:sz w:val="24"/>
          <w:szCs w:val="24"/>
          <w:lang w:val="es-ES_tradnl" w:eastAsia="es-ES" w:bidi="th-TH"/>
        </w:rPr>
        <w:t xml:space="preserve"> Hay un dicho español que me ha inspirado esta frase, y dice así: florecemos en racimo como los santos. Florecemos en comunidad como se ve en la experiencia de los santos.</w:t>
      </w:r>
    </w:p>
    <w:p w14:paraId="6A4DD7A6" w14:textId="77777777"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 xml:space="preserve">Cuando la obsesión por poseer y dominar excluye a millones de personas de los bienes primarios; cuando la desigualdad económica y tecnológica es tal que lacera el tejido social; y cuando la dependencia de un progreso material ilimitado amenaza la casa común, entonces no podemos quedarnos mirando. No, esto es desolador. ¡No podemos quedarnos mirando! Con la mirada fija en Jesús (cfr. </w:t>
      </w:r>
      <w:proofErr w:type="spellStart"/>
      <w:r w:rsidRPr="007605E7">
        <w:rPr>
          <w:rFonts w:ascii="Times New Roman" w:eastAsia="Times New Roman" w:hAnsi="Times New Roman" w:cs="Times New Roman"/>
          <w:color w:val="000000" w:themeColor="text1"/>
          <w:sz w:val="24"/>
          <w:szCs w:val="24"/>
          <w:lang w:val="es-ES_tradnl" w:eastAsia="es-ES" w:bidi="th-TH"/>
        </w:rPr>
        <w:t>Heb</w:t>
      </w:r>
      <w:proofErr w:type="spellEnd"/>
      <w:r w:rsidRPr="007605E7">
        <w:rPr>
          <w:rFonts w:ascii="Times New Roman" w:eastAsia="Times New Roman" w:hAnsi="Times New Roman" w:cs="Times New Roman"/>
          <w:color w:val="000000" w:themeColor="text1"/>
          <w:sz w:val="24"/>
          <w:szCs w:val="24"/>
          <w:lang w:val="es-ES_tradnl" w:eastAsia="es-ES" w:bidi="th-TH"/>
        </w:rPr>
        <w:t xml:space="preserve"> 12, 2) y con la certeza de que su amor obra mediante la comunidad de sus discípulos, debemos actuar todos juntos, en la esperanza de generar algo diferente y mejor. La esperanza cristiana, enraizada en Dios, es nuestra ancla. Ella sostiene la voluntad de compartir, reforzando nuestra misión como discípulos de Cristo, que ha compartido todo con nosotros.</w:t>
      </w:r>
    </w:p>
    <w:p w14:paraId="6A63D0CA" w14:textId="77777777"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 xml:space="preserve">Y esto lo entendieron las primeras comunidades cristianas, que como nosotros vivieron tiempos difíciles. Conscientes de formar un solo corazón y una sola alma, ponían todos sus bienes en común, testimoniando la gracia abundante de Cristo sobre ellos (cfr. </w:t>
      </w:r>
      <w:proofErr w:type="spellStart"/>
      <w:r w:rsidRPr="007605E7">
        <w:rPr>
          <w:rFonts w:ascii="Times New Roman" w:eastAsia="Times New Roman" w:hAnsi="Times New Roman" w:cs="Times New Roman"/>
          <w:color w:val="000000" w:themeColor="text1"/>
          <w:sz w:val="24"/>
          <w:szCs w:val="24"/>
          <w:lang w:val="es-ES_tradnl" w:eastAsia="es-ES" w:bidi="th-TH"/>
        </w:rPr>
        <w:t>Hch</w:t>
      </w:r>
      <w:proofErr w:type="spellEnd"/>
      <w:r w:rsidRPr="007605E7">
        <w:rPr>
          <w:rFonts w:ascii="Times New Roman" w:eastAsia="Times New Roman" w:hAnsi="Times New Roman" w:cs="Times New Roman"/>
          <w:color w:val="000000" w:themeColor="text1"/>
          <w:sz w:val="24"/>
          <w:szCs w:val="24"/>
          <w:lang w:val="es-ES_tradnl" w:eastAsia="es-ES" w:bidi="th-TH"/>
        </w:rPr>
        <w:t xml:space="preserve"> 4, 32-35). Nosotros estamos viviendo una crisis. La pandemia nos ha puesto a todos en crisis. Pero recordad: de una crisis no se puede salir iguales, o salimos mejores, o salimos peores. Esta es nuestra opción. Después de la crisis, ¿seguiremos con este sistema económico de injusticia social y de desprecio por el cuidado del ambiente, de la creación, de la casa común? Pensémoslo. Que las comunidades cristianas del siglo XXI puedan recuperar esta realidad —el cuidado de la creación y la justicia social: van juntas—, dando </w:t>
      </w:r>
      <w:r w:rsidRPr="007605E7">
        <w:rPr>
          <w:rFonts w:ascii="Times New Roman" w:eastAsia="Times New Roman" w:hAnsi="Times New Roman" w:cs="Times New Roman"/>
          <w:color w:val="000000" w:themeColor="text1"/>
          <w:sz w:val="24"/>
          <w:szCs w:val="24"/>
          <w:lang w:val="es-ES_tradnl" w:eastAsia="es-ES" w:bidi="th-TH"/>
        </w:rPr>
        <w:lastRenderedPageBreak/>
        <w:t>así testimonio de la Resurrección del Señor. Si cuidamos los bienes que el Creador nos dona, si ponemos en común lo que poseemos de forma que a nadie le falte, entonces realmente podremos inspirar esperanza para regenerar un mundo más sano y más justo.</w:t>
      </w:r>
    </w:p>
    <w:p w14:paraId="4E979235" w14:textId="77777777"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Y para finalizar, pensemos en los niños. Leed las estadísticas: cuántos niños, hoy, mueren de hambre por una no buena distribución de las riquezas, por un sistema económico como he dicho antes; y cuántos niños, hoy, no tienen derecho a la escuela, por el mismo motivo. Que esta imagen, de los niños necesitados por hambre y por falta de educación, nos ayude a entender que después de esta crisis debemos salir mejores. Gracias.</w:t>
      </w:r>
    </w:p>
    <w:p w14:paraId="12915FA0" w14:textId="77777777"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p w14:paraId="6E0E38C4" w14:textId="22EEB49B" w:rsidR="007605E7" w:rsidRPr="007605E7"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 xml:space="preserve">[1] </w:t>
      </w:r>
      <w:r w:rsidR="00C33836">
        <w:rPr>
          <w:rFonts w:ascii="Times New Roman" w:eastAsia="Times New Roman" w:hAnsi="Times New Roman" w:cs="Times New Roman"/>
          <w:color w:val="000000" w:themeColor="text1"/>
          <w:sz w:val="24"/>
          <w:szCs w:val="24"/>
          <w:lang w:val="es-ES_tradnl" w:eastAsia="es-ES" w:bidi="th-TH"/>
        </w:rPr>
        <w:t>C</w:t>
      </w:r>
      <w:r w:rsidRPr="007605E7">
        <w:rPr>
          <w:rFonts w:ascii="Times New Roman" w:eastAsia="Times New Roman" w:hAnsi="Times New Roman" w:cs="Times New Roman"/>
          <w:color w:val="000000" w:themeColor="text1"/>
          <w:sz w:val="24"/>
          <w:szCs w:val="24"/>
          <w:lang w:val="es-ES_tradnl" w:eastAsia="es-ES" w:bidi="th-TH"/>
        </w:rPr>
        <w:t xml:space="preserve">fr. GS, 71; S. Juan Pablo II, </w:t>
      </w:r>
      <w:proofErr w:type="spellStart"/>
      <w:r w:rsidRPr="007605E7">
        <w:rPr>
          <w:rFonts w:ascii="Times New Roman" w:eastAsia="Times New Roman" w:hAnsi="Times New Roman" w:cs="Times New Roman"/>
          <w:color w:val="000000" w:themeColor="text1"/>
          <w:sz w:val="24"/>
          <w:szCs w:val="24"/>
          <w:lang w:val="es-ES_tradnl" w:eastAsia="es-ES" w:bidi="th-TH"/>
        </w:rPr>
        <w:t>Cart</w:t>
      </w:r>
      <w:proofErr w:type="spellEnd"/>
      <w:r w:rsidRPr="007605E7">
        <w:rPr>
          <w:rFonts w:ascii="Times New Roman" w:eastAsia="Times New Roman" w:hAnsi="Times New Roman" w:cs="Times New Roman"/>
          <w:color w:val="000000" w:themeColor="text1"/>
          <w:sz w:val="24"/>
          <w:szCs w:val="24"/>
          <w:lang w:val="es-ES_tradnl" w:eastAsia="es-ES" w:bidi="th-TH"/>
        </w:rPr>
        <w:t xml:space="preserve">. </w:t>
      </w:r>
      <w:proofErr w:type="spellStart"/>
      <w:r w:rsidRPr="007605E7">
        <w:rPr>
          <w:rFonts w:ascii="Times New Roman" w:eastAsia="Times New Roman" w:hAnsi="Times New Roman" w:cs="Times New Roman"/>
          <w:color w:val="000000" w:themeColor="text1"/>
          <w:sz w:val="24"/>
          <w:szCs w:val="24"/>
          <w:lang w:val="es-ES_tradnl" w:eastAsia="es-ES" w:bidi="th-TH"/>
        </w:rPr>
        <w:t>enc</w:t>
      </w:r>
      <w:proofErr w:type="spellEnd"/>
      <w:r w:rsidRPr="007605E7">
        <w:rPr>
          <w:rFonts w:ascii="Times New Roman" w:eastAsia="Times New Roman" w:hAnsi="Times New Roman" w:cs="Times New Roman"/>
          <w:color w:val="000000" w:themeColor="text1"/>
          <w:sz w:val="24"/>
          <w:szCs w:val="24"/>
          <w:lang w:val="es-ES_tradnl" w:eastAsia="es-ES" w:bidi="th-TH"/>
        </w:rPr>
        <w:t>.</w:t>
      </w:r>
      <w:r w:rsidRPr="00C33836">
        <w:rPr>
          <w:rFonts w:ascii="Times New Roman" w:eastAsia="Times New Roman" w:hAnsi="Times New Roman" w:cs="Times New Roman"/>
          <w:i/>
          <w:color w:val="000000" w:themeColor="text1"/>
          <w:sz w:val="24"/>
          <w:szCs w:val="24"/>
          <w:lang w:val="es-ES_tradnl" w:eastAsia="es-ES" w:bidi="th-TH"/>
        </w:rPr>
        <w:t xml:space="preserve"> </w:t>
      </w:r>
      <w:proofErr w:type="spellStart"/>
      <w:r w:rsidRPr="00C33836">
        <w:rPr>
          <w:rFonts w:ascii="Times New Roman" w:eastAsia="Times New Roman" w:hAnsi="Times New Roman" w:cs="Times New Roman"/>
          <w:i/>
          <w:color w:val="000000" w:themeColor="text1"/>
          <w:sz w:val="24"/>
          <w:szCs w:val="24"/>
          <w:lang w:val="es-ES_tradnl" w:eastAsia="es-ES" w:bidi="th-TH"/>
        </w:rPr>
        <w:t>Sollicitudo</w:t>
      </w:r>
      <w:proofErr w:type="spellEnd"/>
      <w:r w:rsidRPr="00C33836">
        <w:rPr>
          <w:rFonts w:ascii="Times New Roman" w:eastAsia="Times New Roman" w:hAnsi="Times New Roman" w:cs="Times New Roman"/>
          <w:i/>
          <w:color w:val="000000" w:themeColor="text1"/>
          <w:sz w:val="24"/>
          <w:szCs w:val="24"/>
          <w:lang w:val="es-ES_tradnl" w:eastAsia="es-ES" w:bidi="th-TH"/>
        </w:rPr>
        <w:t xml:space="preserve"> </w:t>
      </w:r>
      <w:proofErr w:type="spellStart"/>
      <w:r w:rsidRPr="00C33836">
        <w:rPr>
          <w:rFonts w:ascii="Times New Roman" w:eastAsia="Times New Roman" w:hAnsi="Times New Roman" w:cs="Times New Roman"/>
          <w:i/>
          <w:color w:val="000000" w:themeColor="text1"/>
          <w:sz w:val="24"/>
          <w:szCs w:val="24"/>
          <w:lang w:val="es-ES_tradnl" w:eastAsia="es-ES" w:bidi="th-TH"/>
        </w:rPr>
        <w:t>rei</w:t>
      </w:r>
      <w:proofErr w:type="spellEnd"/>
      <w:r w:rsidRPr="00C33836">
        <w:rPr>
          <w:rFonts w:ascii="Times New Roman" w:eastAsia="Times New Roman" w:hAnsi="Times New Roman" w:cs="Times New Roman"/>
          <w:i/>
          <w:color w:val="000000" w:themeColor="text1"/>
          <w:sz w:val="24"/>
          <w:szCs w:val="24"/>
          <w:lang w:val="es-ES_tradnl" w:eastAsia="es-ES" w:bidi="th-TH"/>
        </w:rPr>
        <w:t xml:space="preserve"> </w:t>
      </w:r>
      <w:proofErr w:type="spellStart"/>
      <w:r w:rsidRPr="00C33836">
        <w:rPr>
          <w:rFonts w:ascii="Times New Roman" w:eastAsia="Times New Roman" w:hAnsi="Times New Roman" w:cs="Times New Roman"/>
          <w:i/>
          <w:color w:val="000000" w:themeColor="text1"/>
          <w:sz w:val="24"/>
          <w:szCs w:val="24"/>
          <w:lang w:val="es-ES_tradnl" w:eastAsia="es-ES" w:bidi="th-TH"/>
        </w:rPr>
        <w:t>socialis</w:t>
      </w:r>
      <w:proofErr w:type="spellEnd"/>
      <w:r w:rsidRPr="007605E7">
        <w:rPr>
          <w:rFonts w:ascii="Times New Roman" w:eastAsia="Times New Roman" w:hAnsi="Times New Roman" w:cs="Times New Roman"/>
          <w:color w:val="000000" w:themeColor="text1"/>
          <w:sz w:val="24"/>
          <w:szCs w:val="24"/>
          <w:lang w:val="es-ES_tradnl" w:eastAsia="es-ES" w:bidi="th-TH"/>
        </w:rPr>
        <w:t xml:space="preserve">, 42; </w:t>
      </w:r>
      <w:proofErr w:type="spellStart"/>
      <w:r w:rsidRPr="007605E7">
        <w:rPr>
          <w:rFonts w:ascii="Times New Roman" w:eastAsia="Times New Roman" w:hAnsi="Times New Roman" w:cs="Times New Roman"/>
          <w:color w:val="000000" w:themeColor="text1"/>
          <w:sz w:val="24"/>
          <w:szCs w:val="24"/>
          <w:lang w:val="es-ES_tradnl" w:eastAsia="es-ES" w:bidi="th-TH"/>
        </w:rPr>
        <w:t>Cart</w:t>
      </w:r>
      <w:proofErr w:type="spellEnd"/>
      <w:r w:rsidRPr="007605E7">
        <w:rPr>
          <w:rFonts w:ascii="Times New Roman" w:eastAsia="Times New Roman" w:hAnsi="Times New Roman" w:cs="Times New Roman"/>
          <w:color w:val="000000" w:themeColor="text1"/>
          <w:sz w:val="24"/>
          <w:szCs w:val="24"/>
          <w:lang w:val="es-ES_tradnl" w:eastAsia="es-ES" w:bidi="th-TH"/>
        </w:rPr>
        <w:t xml:space="preserve">. </w:t>
      </w:r>
      <w:proofErr w:type="spellStart"/>
      <w:r w:rsidRPr="007605E7">
        <w:rPr>
          <w:rFonts w:ascii="Times New Roman" w:eastAsia="Times New Roman" w:hAnsi="Times New Roman" w:cs="Times New Roman"/>
          <w:color w:val="000000" w:themeColor="text1"/>
          <w:sz w:val="24"/>
          <w:szCs w:val="24"/>
          <w:lang w:val="es-ES_tradnl" w:eastAsia="es-ES" w:bidi="th-TH"/>
        </w:rPr>
        <w:t>enc</w:t>
      </w:r>
      <w:proofErr w:type="spellEnd"/>
      <w:r w:rsidRPr="007605E7">
        <w:rPr>
          <w:rFonts w:ascii="Times New Roman" w:eastAsia="Times New Roman" w:hAnsi="Times New Roman" w:cs="Times New Roman"/>
          <w:color w:val="000000" w:themeColor="text1"/>
          <w:sz w:val="24"/>
          <w:szCs w:val="24"/>
          <w:lang w:val="es-ES_tradnl" w:eastAsia="es-ES" w:bidi="th-TH"/>
        </w:rPr>
        <w:t xml:space="preserve">. </w:t>
      </w:r>
      <w:proofErr w:type="spellStart"/>
      <w:r w:rsidRPr="00C33836">
        <w:rPr>
          <w:rFonts w:ascii="Times New Roman" w:eastAsia="Times New Roman" w:hAnsi="Times New Roman" w:cs="Times New Roman"/>
          <w:i/>
          <w:color w:val="000000" w:themeColor="text1"/>
          <w:sz w:val="24"/>
          <w:szCs w:val="24"/>
          <w:lang w:val="es-ES_tradnl" w:eastAsia="es-ES" w:bidi="th-TH"/>
        </w:rPr>
        <w:t>Centesimus</w:t>
      </w:r>
      <w:proofErr w:type="spellEnd"/>
      <w:r w:rsidRPr="00C33836">
        <w:rPr>
          <w:rFonts w:ascii="Times New Roman" w:eastAsia="Times New Roman" w:hAnsi="Times New Roman" w:cs="Times New Roman"/>
          <w:i/>
          <w:color w:val="000000" w:themeColor="text1"/>
          <w:sz w:val="24"/>
          <w:szCs w:val="24"/>
          <w:lang w:val="es-ES_tradnl" w:eastAsia="es-ES" w:bidi="th-TH"/>
        </w:rPr>
        <w:t xml:space="preserve"> </w:t>
      </w:r>
      <w:proofErr w:type="spellStart"/>
      <w:r w:rsidRPr="00C33836">
        <w:rPr>
          <w:rFonts w:ascii="Times New Roman" w:eastAsia="Times New Roman" w:hAnsi="Times New Roman" w:cs="Times New Roman"/>
          <w:i/>
          <w:color w:val="000000" w:themeColor="text1"/>
          <w:sz w:val="24"/>
          <w:szCs w:val="24"/>
          <w:lang w:val="es-ES_tradnl" w:eastAsia="es-ES" w:bidi="th-TH"/>
        </w:rPr>
        <w:t>annus</w:t>
      </w:r>
      <w:proofErr w:type="spellEnd"/>
      <w:r w:rsidRPr="007605E7">
        <w:rPr>
          <w:rFonts w:ascii="Times New Roman" w:eastAsia="Times New Roman" w:hAnsi="Times New Roman" w:cs="Times New Roman"/>
          <w:color w:val="000000" w:themeColor="text1"/>
          <w:sz w:val="24"/>
          <w:szCs w:val="24"/>
          <w:lang w:val="es-ES_tradnl" w:eastAsia="es-ES" w:bidi="th-TH"/>
        </w:rPr>
        <w:t>, 40.48).</w:t>
      </w:r>
    </w:p>
    <w:p w14:paraId="71BB7DF1" w14:textId="7E55E5CD" w:rsidR="007605E7" w:rsidRPr="00C33836" w:rsidRDefault="007605E7" w:rsidP="007605E7">
      <w:pPr>
        <w:spacing w:before="100" w:after="0" w:line="240" w:lineRule="auto"/>
        <w:jc w:val="both"/>
        <w:rPr>
          <w:rFonts w:ascii="Times New Roman" w:eastAsia="Times New Roman" w:hAnsi="Times New Roman" w:cs="Times New Roman"/>
          <w:color w:val="000000" w:themeColor="text1"/>
          <w:sz w:val="24"/>
          <w:szCs w:val="24"/>
          <w:lang w:val="fr-FR" w:eastAsia="es-ES" w:bidi="th-TH"/>
        </w:rPr>
      </w:pPr>
      <w:r w:rsidRPr="00C33836">
        <w:rPr>
          <w:rFonts w:ascii="Times New Roman" w:eastAsia="Times New Roman" w:hAnsi="Times New Roman" w:cs="Times New Roman"/>
          <w:color w:val="000000" w:themeColor="text1"/>
          <w:sz w:val="24"/>
          <w:szCs w:val="24"/>
          <w:lang w:val="fr-FR" w:eastAsia="es-ES" w:bidi="th-TH"/>
        </w:rPr>
        <w:t xml:space="preserve">[2] </w:t>
      </w:r>
      <w:r w:rsidR="00C33836">
        <w:rPr>
          <w:rFonts w:ascii="Times New Roman" w:eastAsia="Times New Roman" w:hAnsi="Times New Roman" w:cs="Times New Roman"/>
          <w:color w:val="000000" w:themeColor="text1"/>
          <w:sz w:val="24"/>
          <w:szCs w:val="24"/>
          <w:lang w:val="fr-FR" w:eastAsia="es-ES" w:bidi="th-TH"/>
        </w:rPr>
        <w:t>C</w:t>
      </w:r>
      <w:r w:rsidRPr="00C33836">
        <w:rPr>
          <w:rFonts w:ascii="Times New Roman" w:eastAsia="Times New Roman" w:hAnsi="Times New Roman" w:cs="Times New Roman"/>
          <w:color w:val="000000" w:themeColor="text1"/>
          <w:sz w:val="24"/>
          <w:szCs w:val="24"/>
          <w:lang w:val="fr-FR" w:eastAsia="es-ES" w:bidi="th-TH"/>
        </w:rPr>
        <w:t xml:space="preserve">fr. S. Juan Pablo II, Cart. enc. </w:t>
      </w:r>
      <w:r w:rsidRPr="00C33836">
        <w:rPr>
          <w:rFonts w:ascii="Times New Roman" w:eastAsia="Times New Roman" w:hAnsi="Times New Roman" w:cs="Times New Roman"/>
          <w:i/>
          <w:color w:val="000000" w:themeColor="text1"/>
          <w:sz w:val="24"/>
          <w:szCs w:val="24"/>
          <w:lang w:val="fr-FR" w:eastAsia="es-ES" w:bidi="th-TH"/>
        </w:rPr>
        <w:t>Laborem exercens</w:t>
      </w:r>
      <w:r w:rsidRPr="00C33836">
        <w:rPr>
          <w:rFonts w:ascii="Times New Roman" w:eastAsia="Times New Roman" w:hAnsi="Times New Roman" w:cs="Times New Roman"/>
          <w:color w:val="000000" w:themeColor="text1"/>
          <w:sz w:val="24"/>
          <w:szCs w:val="24"/>
          <w:lang w:val="fr-FR" w:eastAsia="es-ES" w:bidi="th-TH"/>
        </w:rPr>
        <w:t>, 19.</w:t>
      </w:r>
    </w:p>
    <w:p w14:paraId="1D1970B1" w14:textId="08E71965" w:rsidR="00A403C4" w:rsidRPr="00A403C4" w:rsidRDefault="007605E7" w:rsidP="007605E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7605E7">
        <w:rPr>
          <w:rFonts w:ascii="Times New Roman" w:eastAsia="Times New Roman" w:hAnsi="Times New Roman" w:cs="Times New Roman"/>
          <w:color w:val="000000" w:themeColor="text1"/>
          <w:sz w:val="24"/>
          <w:szCs w:val="24"/>
          <w:lang w:val="es-ES_tradnl" w:eastAsia="es-ES" w:bidi="th-TH"/>
        </w:rPr>
        <w:t xml:space="preserve">[3] </w:t>
      </w:r>
      <w:r w:rsidR="00C33836">
        <w:rPr>
          <w:rFonts w:ascii="Times New Roman" w:eastAsia="Times New Roman" w:hAnsi="Times New Roman" w:cs="Times New Roman"/>
          <w:color w:val="000000" w:themeColor="text1"/>
          <w:sz w:val="24"/>
          <w:szCs w:val="24"/>
          <w:lang w:val="es-ES_tradnl" w:eastAsia="es-ES" w:bidi="th-TH"/>
        </w:rPr>
        <w:t>«</w:t>
      </w:r>
      <w:r w:rsidRPr="007605E7">
        <w:rPr>
          <w:rFonts w:ascii="Times New Roman" w:eastAsia="Times New Roman" w:hAnsi="Times New Roman" w:cs="Times New Roman"/>
          <w:color w:val="000000" w:themeColor="text1"/>
          <w:sz w:val="24"/>
          <w:szCs w:val="24"/>
          <w:lang w:val="es-ES_tradnl" w:eastAsia="es-ES" w:bidi="th-TH"/>
        </w:rPr>
        <w:t>Florecemos en racimo, como los santos</w:t>
      </w:r>
      <w:r w:rsidR="00C33836">
        <w:rPr>
          <w:rFonts w:ascii="Times New Roman" w:eastAsia="Times New Roman" w:hAnsi="Times New Roman" w:cs="Times New Roman"/>
          <w:color w:val="000000" w:themeColor="text1"/>
          <w:sz w:val="24"/>
          <w:szCs w:val="24"/>
          <w:lang w:val="es-ES_tradnl" w:eastAsia="es-ES" w:bidi="th-TH"/>
        </w:rPr>
        <w:t>»</w:t>
      </w:r>
      <w:r w:rsidRPr="007605E7">
        <w:rPr>
          <w:rFonts w:ascii="Times New Roman" w:eastAsia="Times New Roman" w:hAnsi="Times New Roman" w:cs="Times New Roman"/>
          <w:color w:val="000000" w:themeColor="text1"/>
          <w:sz w:val="24"/>
          <w:szCs w:val="24"/>
          <w:lang w:val="es-ES_tradnl" w:eastAsia="es-ES" w:bidi="th-TH"/>
        </w:rPr>
        <w:t>: expresión común en lengua española.</w:t>
      </w:r>
    </w:p>
    <w:sectPr w:rsidR="00A403C4" w:rsidRPr="00A403C4"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99BA" w14:textId="77777777" w:rsidR="00C5070D" w:rsidRDefault="00C5070D" w:rsidP="00D93000">
      <w:pPr>
        <w:spacing w:after="0" w:line="240" w:lineRule="auto"/>
      </w:pPr>
      <w:r>
        <w:separator/>
      </w:r>
    </w:p>
  </w:endnote>
  <w:endnote w:type="continuationSeparator" w:id="0">
    <w:p w14:paraId="4067C9D7" w14:textId="77777777" w:rsidR="00C5070D" w:rsidRDefault="00C5070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43B6E62"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902E41">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F5E8E" w14:textId="77777777" w:rsidR="00C5070D" w:rsidRDefault="00C5070D" w:rsidP="00D93000">
      <w:pPr>
        <w:spacing w:after="0" w:line="240" w:lineRule="auto"/>
      </w:pPr>
      <w:r>
        <w:separator/>
      </w:r>
    </w:p>
  </w:footnote>
  <w:footnote w:type="continuationSeparator" w:id="0">
    <w:p w14:paraId="0D8B3BD8" w14:textId="77777777" w:rsidR="00C5070D" w:rsidRDefault="00C5070D" w:rsidP="00D93000">
      <w:pPr>
        <w:spacing w:after="0" w:line="240" w:lineRule="auto"/>
      </w:pPr>
      <w:r>
        <w:continuationSeparator/>
      </w:r>
    </w:p>
  </w:footnote>
  <w:footnote w:id="1">
    <w:p w14:paraId="71F2DB12" w14:textId="135E9F3A" w:rsidR="00C33836" w:rsidRPr="00C33836" w:rsidRDefault="00C33836" w:rsidP="00C33836">
      <w:pPr>
        <w:pStyle w:val="Textdenotaapeudepgina"/>
        <w:spacing w:before="40"/>
        <w:ind w:left="142" w:hanging="142"/>
        <w:rPr>
          <w:rFonts w:ascii="Times New Roman" w:hAnsi="Times New Roman" w:cs="Times New Roman"/>
          <w:sz w:val="16"/>
          <w:szCs w:val="16"/>
          <w:lang w:val="fr-FR"/>
        </w:rPr>
      </w:pPr>
      <w:r w:rsidRPr="00C33836">
        <w:rPr>
          <w:rStyle w:val="Refernciadenotaapeudepgina"/>
          <w:rFonts w:ascii="Times New Roman" w:hAnsi="Times New Roman" w:cs="Times New Roman"/>
          <w:sz w:val="16"/>
          <w:szCs w:val="16"/>
        </w:rPr>
        <w:footnoteRef/>
      </w:r>
      <w:r w:rsidRPr="00C33836">
        <w:rPr>
          <w:rFonts w:ascii="Times New Roman" w:eastAsia="Times New Roman" w:hAnsi="Times New Roman" w:cs="Times New Roman"/>
          <w:color w:val="000000" w:themeColor="text1"/>
          <w:sz w:val="16"/>
          <w:szCs w:val="16"/>
          <w:lang w:val="fr-FR" w:eastAsia="es-ES" w:bidi="th-TH"/>
        </w:rPr>
        <w:tab/>
      </w:r>
      <w:r w:rsidRPr="00C33836">
        <w:rPr>
          <w:rFonts w:ascii="Times New Roman" w:eastAsia="Times New Roman" w:hAnsi="Times New Roman" w:cs="Times New Roman"/>
          <w:color w:val="000000" w:themeColor="text1"/>
          <w:sz w:val="16"/>
          <w:szCs w:val="16"/>
          <w:lang w:val="fr-FR" w:eastAsia="es-ES" w:bidi="th-TH"/>
        </w:rPr>
        <w:t>Cfr. GS, 71; S. Juan Pablo II, Cart. enc.</w:t>
      </w:r>
      <w:r w:rsidRPr="00C33836">
        <w:rPr>
          <w:rFonts w:ascii="Times New Roman" w:eastAsia="Times New Roman" w:hAnsi="Times New Roman" w:cs="Times New Roman"/>
          <w:i/>
          <w:color w:val="000000" w:themeColor="text1"/>
          <w:sz w:val="16"/>
          <w:szCs w:val="16"/>
          <w:lang w:val="fr-FR" w:eastAsia="es-ES" w:bidi="th-TH"/>
        </w:rPr>
        <w:t xml:space="preserve"> Sollicitudo rei socialis</w:t>
      </w:r>
      <w:r w:rsidRPr="00C33836">
        <w:rPr>
          <w:rFonts w:ascii="Times New Roman" w:eastAsia="Times New Roman" w:hAnsi="Times New Roman" w:cs="Times New Roman"/>
          <w:color w:val="000000" w:themeColor="text1"/>
          <w:sz w:val="16"/>
          <w:szCs w:val="16"/>
          <w:lang w:val="fr-FR" w:eastAsia="es-ES" w:bidi="th-TH"/>
        </w:rPr>
        <w:t xml:space="preserve">, 42; Cart. enc. </w:t>
      </w:r>
      <w:r w:rsidRPr="00C33836">
        <w:rPr>
          <w:rFonts w:ascii="Times New Roman" w:eastAsia="Times New Roman" w:hAnsi="Times New Roman" w:cs="Times New Roman"/>
          <w:i/>
          <w:color w:val="000000" w:themeColor="text1"/>
          <w:sz w:val="16"/>
          <w:szCs w:val="16"/>
          <w:lang w:val="fr-FR" w:eastAsia="es-ES" w:bidi="th-TH"/>
        </w:rPr>
        <w:t>Centesimus annus</w:t>
      </w:r>
      <w:r w:rsidRPr="00C33836">
        <w:rPr>
          <w:rFonts w:ascii="Times New Roman" w:eastAsia="Times New Roman" w:hAnsi="Times New Roman" w:cs="Times New Roman"/>
          <w:color w:val="000000" w:themeColor="text1"/>
          <w:sz w:val="16"/>
          <w:szCs w:val="16"/>
          <w:lang w:val="fr-FR" w:eastAsia="es-ES" w:bidi="th-TH"/>
        </w:rPr>
        <w:t>, 40.48).</w:t>
      </w:r>
    </w:p>
  </w:footnote>
  <w:footnote w:id="2">
    <w:p w14:paraId="6C2A64E9" w14:textId="063C7640" w:rsidR="00C33836" w:rsidRPr="00C33836" w:rsidRDefault="00C33836" w:rsidP="00C33836">
      <w:pPr>
        <w:pStyle w:val="Textdenotaapeudepgina"/>
        <w:spacing w:before="40"/>
        <w:ind w:left="142" w:hanging="142"/>
        <w:rPr>
          <w:rFonts w:ascii="Times New Roman" w:hAnsi="Times New Roman" w:cs="Times New Roman"/>
          <w:sz w:val="16"/>
          <w:szCs w:val="16"/>
          <w:lang w:val="ca-ES"/>
        </w:rPr>
      </w:pPr>
      <w:r w:rsidRPr="00C33836">
        <w:rPr>
          <w:rStyle w:val="Refernciadenotaapeudepgina"/>
          <w:rFonts w:ascii="Times New Roman" w:hAnsi="Times New Roman" w:cs="Times New Roman"/>
          <w:sz w:val="16"/>
          <w:szCs w:val="16"/>
        </w:rPr>
        <w:footnoteRef/>
      </w:r>
      <w:r w:rsidRPr="00C33836">
        <w:rPr>
          <w:rFonts w:ascii="Times New Roman" w:eastAsia="Times New Roman" w:hAnsi="Times New Roman" w:cs="Times New Roman"/>
          <w:color w:val="000000" w:themeColor="text1"/>
          <w:sz w:val="16"/>
          <w:szCs w:val="16"/>
          <w:lang w:val="fr-FR" w:eastAsia="es-ES" w:bidi="th-TH"/>
        </w:rPr>
        <w:tab/>
      </w:r>
      <w:r w:rsidRPr="00C33836">
        <w:rPr>
          <w:rFonts w:ascii="Times New Roman" w:eastAsia="Times New Roman" w:hAnsi="Times New Roman" w:cs="Times New Roman"/>
          <w:color w:val="000000" w:themeColor="text1"/>
          <w:sz w:val="16"/>
          <w:szCs w:val="16"/>
          <w:lang w:val="fr-FR" w:eastAsia="es-ES" w:bidi="th-TH"/>
        </w:rPr>
        <w:t xml:space="preserve">Cfr. S. Juan Pablo II, Cart. enc. </w:t>
      </w:r>
      <w:r w:rsidRPr="00C33836">
        <w:rPr>
          <w:rFonts w:ascii="Times New Roman" w:eastAsia="Times New Roman" w:hAnsi="Times New Roman" w:cs="Times New Roman"/>
          <w:i/>
          <w:color w:val="000000" w:themeColor="text1"/>
          <w:sz w:val="16"/>
          <w:szCs w:val="16"/>
          <w:lang w:val="fr-FR" w:eastAsia="es-ES" w:bidi="th-TH"/>
        </w:rPr>
        <w:t>Laborem exercens</w:t>
      </w:r>
      <w:r w:rsidRPr="00C33836">
        <w:rPr>
          <w:rFonts w:ascii="Times New Roman" w:eastAsia="Times New Roman" w:hAnsi="Times New Roman" w:cs="Times New Roman"/>
          <w:color w:val="000000" w:themeColor="text1"/>
          <w:sz w:val="16"/>
          <w:szCs w:val="16"/>
          <w:lang w:val="fr-FR" w:eastAsia="es-ES" w:bidi="th-TH"/>
        </w:rPr>
        <w:t>, 19.</w:t>
      </w:r>
    </w:p>
  </w:footnote>
  <w:footnote w:id="3">
    <w:p w14:paraId="4D094BDC" w14:textId="03A8D968" w:rsidR="00C33836" w:rsidRPr="00C33836" w:rsidRDefault="00C33836" w:rsidP="00C33836">
      <w:pPr>
        <w:pStyle w:val="Textdenotaapeudepgina"/>
        <w:spacing w:before="40"/>
        <w:ind w:left="142" w:hanging="142"/>
        <w:rPr>
          <w:rFonts w:ascii="Times New Roman" w:hAnsi="Times New Roman" w:cs="Times New Roman"/>
          <w:sz w:val="16"/>
          <w:szCs w:val="16"/>
          <w:lang w:val="ca-ES"/>
        </w:rPr>
      </w:pPr>
      <w:r w:rsidRPr="00C33836">
        <w:rPr>
          <w:rStyle w:val="Refernciadenotaapeudepgina"/>
          <w:rFonts w:ascii="Times New Roman" w:hAnsi="Times New Roman" w:cs="Times New Roman"/>
          <w:sz w:val="16"/>
          <w:szCs w:val="16"/>
        </w:rPr>
        <w:footnoteRef/>
      </w:r>
      <w:r w:rsidRPr="00C33836">
        <w:rPr>
          <w:rFonts w:ascii="Times New Roman" w:hAnsi="Times New Roman" w:cs="Times New Roman"/>
          <w:sz w:val="16"/>
          <w:szCs w:val="16"/>
        </w:rPr>
        <w:tab/>
      </w:r>
      <w:r w:rsidRPr="00C33836">
        <w:rPr>
          <w:rFonts w:ascii="Times New Roman" w:eastAsia="Times New Roman" w:hAnsi="Times New Roman" w:cs="Times New Roman"/>
          <w:color w:val="000000" w:themeColor="text1"/>
          <w:sz w:val="16"/>
          <w:szCs w:val="16"/>
          <w:lang w:val="es-ES_tradnl" w:eastAsia="es-ES" w:bidi="th-TH"/>
        </w:rPr>
        <w:t>«Florecemos en racimo, como los santos»: expresión común en lengua española.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69FB"/>
    <w:rsid w:val="002C4CB9"/>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618ED"/>
    <w:rsid w:val="00361FF2"/>
    <w:rsid w:val="00363C03"/>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297"/>
    <w:rsid w:val="006208B8"/>
    <w:rsid w:val="0062330A"/>
    <w:rsid w:val="00623348"/>
    <w:rsid w:val="00623F94"/>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5E7"/>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E41"/>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6171"/>
    <w:rsid w:val="00C07778"/>
    <w:rsid w:val="00C10C09"/>
    <w:rsid w:val="00C1394C"/>
    <w:rsid w:val="00C1579E"/>
    <w:rsid w:val="00C23735"/>
    <w:rsid w:val="00C24CC1"/>
    <w:rsid w:val="00C257CE"/>
    <w:rsid w:val="00C31E86"/>
    <w:rsid w:val="00C33836"/>
    <w:rsid w:val="00C34D34"/>
    <w:rsid w:val="00C40141"/>
    <w:rsid w:val="00C4051C"/>
    <w:rsid w:val="00C409C5"/>
    <w:rsid w:val="00C41513"/>
    <w:rsid w:val="00C42432"/>
    <w:rsid w:val="00C4366E"/>
    <w:rsid w:val="00C43862"/>
    <w:rsid w:val="00C43919"/>
    <w:rsid w:val="00C50365"/>
    <w:rsid w:val="00C5070D"/>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F1A"/>
    <w:rsid w:val="00D2734B"/>
    <w:rsid w:val="00D32470"/>
    <w:rsid w:val="00D32C3B"/>
    <w:rsid w:val="00D32E9D"/>
    <w:rsid w:val="00D36145"/>
    <w:rsid w:val="00D42197"/>
    <w:rsid w:val="00D44BCC"/>
    <w:rsid w:val="00D453B6"/>
    <w:rsid w:val="00D46420"/>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BC14E-4375-4F35-8F27-6780A9FD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1183</Words>
  <Characters>6749</Characters>
  <Application>Microsoft Office Word</Application>
  <DocSecurity>0</DocSecurity>
  <Lines>56</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26/08/2020</vt:lpstr>
      <vt:lpstr>audiència 17/06/2020</vt:lpstr>
    </vt:vector>
  </TitlesOfParts>
  <Manager/>
  <Company>Santa Sede</Company>
  <LinksUpToDate>false</LinksUpToDate>
  <CharactersWithSpaces>7917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26/08/2020</dc:title>
  <dc:subject>Catequesis - «Curar el mundo»: 4. El destino universal de los bienes y la virtud de la esperanza</dc:subject>
  <dc:creator>papa Francisco</dc:creator>
  <cp:keywords/>
  <dc:description/>
  <cp:lastModifiedBy>Rosalia</cp:lastModifiedBy>
  <cp:revision>5</cp:revision>
  <dcterms:created xsi:type="dcterms:W3CDTF">2020-08-28T11:09:00Z</dcterms:created>
  <dcterms:modified xsi:type="dcterms:W3CDTF">2020-08-28T16:20:00Z</dcterms:modified>
  <cp:category/>
</cp:coreProperties>
</file>